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BB" w:rsidRPr="00BD33BB" w:rsidRDefault="00BD33BB" w:rsidP="00BD33B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5B9BD5" w:themeColor="accent1"/>
          <w:kern w:val="36"/>
          <w:sz w:val="26"/>
          <w:szCs w:val="26"/>
          <w:lang w:eastAsia="ru-RU"/>
        </w:rPr>
      </w:pPr>
      <w:bookmarkStart w:id="0" w:name="dst100001"/>
      <w:bookmarkEnd w:id="0"/>
      <w:r w:rsidRPr="00BD33BB">
        <w:rPr>
          <w:rFonts w:ascii="Arial" w:eastAsia="Times New Roman" w:hAnsi="Arial" w:cs="Arial"/>
          <w:bCs/>
          <w:color w:val="5B9BD5" w:themeColor="accent1"/>
          <w:kern w:val="36"/>
          <w:sz w:val="26"/>
          <w:szCs w:val="26"/>
          <w:lang w:eastAsia="ru-RU"/>
        </w:rPr>
        <w:t>Постановление Правительства РФ от 30.08.2017 N 1042 (ред. от 02.08.2019)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1063"ПРАВИТЕЛЬСТВО РОССИЙСКОЙ ФЕДЕРАЦИИ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2"/>
      <w:bookmarkEnd w:id="1"/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ПОСТАНОВЛЕНИЕ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 30 августа 2017 г. N 1042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2" w:name="dst1"/>
      <w:bookmarkEnd w:id="2"/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УТВЕРЖДЕНИИ ПРАВИЛ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ОПРЕДЕЛЕНИЯ РАЗМЕРА ШТРАФА, НАЧИСЛЯЕМОГО В СЛУЧАЕ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НЕНАДЛЕЖАЩЕГО ИСПОЛНЕНИЯ ЗАКАЗЧИКОМ, НЕИСПОЛНЕНИЯ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ИЛИ НЕНАДЛЕЖАЩЕГО ИСПОЛНЕНИЯ ПОСТАВЩИКОМ (ПОДРЯДЧИКОМ,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ИСПОЛНИТЕЛЕМ) ОБЯЗАТЕЛЬСТВ, ПРЕДУСМОТРЕННЫХ КОНТРАКТОМ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(ЗА ИСКЛЮЧЕНИЕМ ПРОСРОЧКИ ИСПОЛНЕНИЯ ОБЯЗАТЕЛЬСТВ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ЗАКАЗЧИКОМ, ПОСТАВЩИКОМ (ПОДРЯДЧИКОМ, ИСПОЛНИТЕЛЕМ),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ПОСТАНОВЛЕНИЕ ПРАВИТЕЛЬСТВА РОССИЙСКОЙ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ФЕДЕРАЦИИ ОТ 15 МАЯ 2017 Г. N 570 И ПРИЗНАНИИ УТРАТИВШИМ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СИЛУ ПОСТАНОВЛЕНИЯ ПРАВИТЕЛЬСТВА РОССИЙСКОЙ ФЕДЕРАЦИИ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 25 НОЯБРЯ 2013 Г. N 1063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D33BB" w:rsidRPr="00BD33BB" w:rsidRDefault="00BD33BB" w:rsidP="00BD33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4"/>
      <w:bookmarkEnd w:id="3"/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 </w:t>
      </w:r>
      <w:hyperlink r:id="rId4" w:anchor="dst101716" w:history="1">
        <w:r w:rsidRPr="00BD33B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34</w:t>
        </w:r>
      </w:hyperlink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D33BB" w:rsidRPr="00BD33BB" w:rsidRDefault="00BD33BB" w:rsidP="00BD33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прилагаемые:</w:t>
      </w:r>
    </w:p>
    <w:bookmarkStart w:id="5" w:name="dst2"/>
    <w:bookmarkEnd w:id="5"/>
    <w:p w:rsidR="00BD33BB" w:rsidRPr="00BD33BB" w:rsidRDefault="00BD33BB" w:rsidP="00BD33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"http://www.consultant.ru/document/cons_doc_LAW_331074/c68b95fe21383d322ccb40aefb0407782166052a/" \l "dst3" </w:instrText>
      </w: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BD33BB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Правила</w:t>
      </w: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5" w:anchor="dst100010" w:history="1">
        <w:r w:rsidRPr="00BD33B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Постановления</w:t>
        </w:r>
      </w:hyperlink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bookmarkStart w:id="6" w:name="dst100007"/>
    <w:bookmarkEnd w:id="6"/>
    <w:p w:rsidR="00BD33BB" w:rsidRPr="00BD33BB" w:rsidRDefault="00BD33BB" w:rsidP="00BD33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"http://www.consultant.ru/document/cons_doc_LAW_331074/3409c3ce42d469aa7745371349f6aebe61faa16e/" \l "dst100053" </w:instrText>
      </w: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BD33BB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изменения</w:t>
      </w: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которые вносятся в постановление 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</w:t>
      </w: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BD33BB" w:rsidRPr="00BD33BB" w:rsidRDefault="00BD33BB" w:rsidP="00BD33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 постановление 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 w:rsidR="00BD33BB" w:rsidRPr="00BD33BB" w:rsidRDefault="00BD33BB" w:rsidP="00BD33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9"/>
      <w:bookmarkEnd w:id="8"/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0"/>
      <w:bookmarkEnd w:id="9"/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Правительства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BD33BB" w:rsidRPr="00BD33BB" w:rsidRDefault="00BD33BB" w:rsidP="00BD3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Д.МЕДВЕДЕВ</w:t>
      </w:r>
    </w:p>
    <w:p w:rsidR="00BD33BB" w:rsidRPr="00BD33BB" w:rsidRDefault="00BD33BB" w:rsidP="00BD33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D33BB" w:rsidRPr="00BD33BB" w:rsidRDefault="00BD33BB" w:rsidP="00BD33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D33BB" w:rsidRPr="00BD33BB" w:rsidRDefault="00BD33BB" w:rsidP="00BD33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D33BB" w:rsidRPr="00BD33BB" w:rsidRDefault="00BD33BB" w:rsidP="00BD33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5B45" w:rsidRPr="006E5B45" w:rsidRDefault="00BD33BB" w:rsidP="006E5B45">
      <w:pPr>
        <w:shd w:val="clear" w:color="auto" w:fill="FFFFFF"/>
        <w:spacing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33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6E5B45"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Утверждены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постановлением Правительства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30 августа 2017 г. N 1042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0" w:name="dst3"/>
      <w:bookmarkEnd w:id="10"/>
      <w:r w:rsidRPr="006E5B4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ПРАВИЛА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ОПРЕДЕЛЕНИЯ РАЗМЕРА ШТРАФА, НАЧИСЛЯЕМОГО В СЛУЧАЕ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НЕНАДЛЕЖАЩЕГО ИСПОЛНЕНИЯ ЗАКАЗЧИКОМ, НЕИСПОЛНЕНИЯ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ИЛИ НЕНАДЛЕЖАЩЕГО ИСПОЛНЕНИЯ ПОСТАВЩИКОМ (ПОДРЯДЧИКОМ,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ИСПОЛНИТЕЛЕМ) ОБЯЗАТЕЛЬСТВ, ПРЕДУСМОТРЕННЫХ КОНТРАКТОМ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(ЗА ИСКЛЮЧЕНИЕМ ПРОСРОЧКИ ИСПОЛНЕНИЯ ОБЯЗАТЕЛЬСТВ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lastRenderedPageBreak/>
        <w:t>ЗАКАЗЧИКОМ, ПОСТАВЩИКОМ (ПОДРЯДЧИКОМ, ИСПОЛНИТЕЛЕМ)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_GoBack"/>
      <w:bookmarkEnd w:id="11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4"/>
      <w:bookmarkEnd w:id="12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1 в ред. </w:t>
      </w:r>
      <w:hyperlink r:id="rId6" w:anchor="dst100013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5"/>
      <w:bookmarkEnd w:id="13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Размер штрафа устанавливается контрактом в соответствии с </w:t>
      </w:r>
      <w:hyperlink r:id="rId7" w:anchor="dst6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пунктами 3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8" w:anchor="dst19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9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Правил, за исключением случая, предусмотренного </w:t>
      </w:r>
      <w:hyperlink r:id="rId9" w:anchor="dst23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13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10" w:anchor="dst100015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6"/>
      <w:bookmarkEnd w:id="14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 </w:t>
      </w:r>
      <w:hyperlink r:id="rId11" w:anchor="dst7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пунктами 4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12" w:anchor="dst100043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8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Правил):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13" w:anchor="dst100019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20"/>
      <w:bookmarkEnd w:id="15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10 процентов цены контракта (этапа) в случае, если цена контракта (этапа) не превышает 3 млн. рублей;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21"/>
      <w:bookmarkEnd w:id="16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22"/>
      <w:bookmarkEnd w:id="17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23"/>
      <w:bookmarkEnd w:id="18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4"/>
      <w:bookmarkEnd w:id="19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5"/>
      <w:bookmarkEnd w:id="20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6"/>
      <w:bookmarkEnd w:id="21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7"/>
      <w:bookmarkEnd w:id="22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8"/>
      <w:bookmarkEnd w:id="23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и) 0,1 процента цены контракта (этапа) в случае, если цена контракта (этапа) превышает 10 млрд. рублей.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7"/>
      <w:bookmarkEnd w:id="24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 </w:t>
      </w:r>
      <w:hyperlink r:id="rId14" w:anchor="dst101858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1 части 1 статьи 30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4 в ред. </w:t>
      </w:r>
      <w:hyperlink r:id="rId15" w:anchor="dst100020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8"/>
      <w:bookmarkEnd w:id="25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 </w:t>
      </w:r>
      <w:hyperlink r:id="rId16" w:anchor="dst0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17" w:anchor="dst100023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9"/>
      <w:bookmarkEnd w:id="26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 случае, если цена контракта не превышает начальную (максимальную) цену контракта: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"/>
      <w:bookmarkEnd w:id="27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процентов начальной (максимальной) цены контракта, если цена контракта не превышает 3 млн. рублей;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1"/>
      <w:bookmarkEnd w:id="28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2"/>
      <w:bookmarkEnd w:id="29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spellStart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</w:t>
      </w:r>
      <w:proofErr w:type="spellEnd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"а" в ред. </w:t>
      </w:r>
      <w:hyperlink r:id="rId18" w:anchor="dst100024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3"/>
      <w:bookmarkEnd w:id="30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случае, если цена контракта превышает начальную (максимальную) цену контракта: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4"/>
      <w:bookmarkEnd w:id="31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процентов цены контракта, если цена контракта не превышает 3 млн. рублей;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5"/>
      <w:bookmarkEnd w:id="32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процентов цены контракта, если цена контракта составляет от 3 млн. рублей до 50 млн.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6"/>
      <w:bookmarkEnd w:id="33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процент цены контракта, если цена контракта составляет от 50 млн. рублей до 100 млн. рублей (включительно).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spellStart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</w:t>
      </w:r>
      <w:proofErr w:type="spellEnd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"б" в ред. </w:t>
      </w:r>
      <w:hyperlink r:id="rId19" w:anchor="dst100029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7"/>
      <w:bookmarkEnd w:id="34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в) утратил силу. - </w:t>
      </w:r>
      <w:hyperlink r:id="rId20" w:anchor="dst100033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Постановление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1011.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8"/>
      <w:bookmarkEnd w:id="35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21" w:anchor="dst100034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38"/>
      <w:bookmarkEnd w:id="36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1000 рублей, если цена контракта не превышает 3 млн. рублей;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39"/>
      <w:bookmarkEnd w:id="37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5000 рублей, если цена контракта составляет от 3 млн. рублей до 50 млн.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40"/>
      <w:bookmarkEnd w:id="38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10000 рублей, если цена контракта составляет от 50 млн. рублей до 100 млн.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41"/>
      <w:bookmarkEnd w:id="39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100000 рублей, если цена контракта превышает 100 млн. рублей.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2"/>
      <w:bookmarkEnd w:id="40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3"/>
      <w:bookmarkEnd w:id="41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В случае если в соответствии с </w:t>
      </w:r>
      <w:hyperlink r:id="rId22" w:anchor="dst101870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6 статьи 30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9"/>
      <w:bookmarkEnd w:id="42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23" w:anchor="dst100034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45"/>
      <w:bookmarkEnd w:id="43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1000 рублей, если цена контракта не превышает 3 млн.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46"/>
      <w:bookmarkEnd w:id="44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5000 рублей, если цена контракта составляет от 3 млн. рублей до 50 млн.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47"/>
      <w:bookmarkEnd w:id="45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10000 рублей, если цена контракта составляет от 50 млн. рублей до 100 млн. рублей (включительно);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48"/>
      <w:bookmarkEnd w:id="46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100000 рублей, если цена контракта превышает 100 млн. рублей.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dst20"/>
      <w:bookmarkEnd w:id="47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Утратил силу. - </w:t>
      </w:r>
      <w:hyperlink r:id="rId24" w:anchor="dst100035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Постановление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1011.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dst21"/>
      <w:bookmarkEnd w:id="48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25" w:anchor="dst100036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dst22"/>
      <w:bookmarkEnd w:id="49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</w:t>
      </w:r>
      <w:hyperlink r:id="rId26" w:anchor="dst100036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" w:name="dst23"/>
      <w:bookmarkEnd w:id="50"/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13 введен </w:t>
      </w:r>
      <w:hyperlink r:id="rId27" w:anchor="dst100037" w:history="1">
        <w:r w:rsidRPr="006E5B4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Постановлением</w:t>
        </w:r>
      </w:hyperlink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02.08.2019 N 1011)</w:t>
      </w:r>
    </w:p>
    <w:p w:rsidR="006E5B45" w:rsidRPr="006E5B45" w:rsidRDefault="006E5B45" w:rsidP="006E5B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5B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sectPr w:rsidR="006E5B45" w:rsidRPr="006E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BB"/>
    <w:rsid w:val="006E5B45"/>
    <w:rsid w:val="007909A1"/>
    <w:rsid w:val="00B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A561-3FD0-464D-A318-2C0F84AE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33BB"/>
    <w:rPr>
      <w:color w:val="0000FF"/>
      <w:u w:val="single"/>
    </w:rPr>
  </w:style>
  <w:style w:type="character" w:customStyle="1" w:styleId="blk">
    <w:name w:val="blk"/>
    <w:basedOn w:val="a0"/>
    <w:rsid w:val="00BD33BB"/>
  </w:style>
  <w:style w:type="character" w:customStyle="1" w:styleId="nobr">
    <w:name w:val="nobr"/>
    <w:basedOn w:val="a0"/>
    <w:rsid w:val="00BD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13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7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7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3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7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0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71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28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8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1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37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7282598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97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1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3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8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8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12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2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1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7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6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1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74/c68b95fe21383d322ccb40aefb0407782166052a/" TargetMode="External"/><Relationship Id="rId13" Type="http://schemas.openxmlformats.org/officeDocument/2006/relationships/hyperlink" Target="http://www.consultant.ru/document/cons_doc_LAW_330976/f54ae51893be1c0b8d48c5cba51e286248e3f237/" TargetMode="External"/><Relationship Id="rId18" Type="http://schemas.openxmlformats.org/officeDocument/2006/relationships/hyperlink" Target="http://www.consultant.ru/document/cons_doc_LAW_330976/f54ae51893be1c0b8d48c5cba51e286248e3f237/" TargetMode="External"/><Relationship Id="rId26" Type="http://schemas.openxmlformats.org/officeDocument/2006/relationships/hyperlink" Target="http://www.consultant.ru/document/cons_doc_LAW_330976/f54ae51893be1c0b8d48c5cba51e286248e3f23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30976/f54ae51893be1c0b8d48c5cba51e286248e3f237/" TargetMode="External"/><Relationship Id="rId7" Type="http://schemas.openxmlformats.org/officeDocument/2006/relationships/hyperlink" Target="http://www.consultant.ru/document/cons_doc_LAW_331074/c68b95fe21383d322ccb40aefb0407782166052a/" TargetMode="External"/><Relationship Id="rId12" Type="http://schemas.openxmlformats.org/officeDocument/2006/relationships/hyperlink" Target="http://www.consultant.ru/document/cons_doc_LAW_331074/c68b95fe21383d322ccb40aefb0407782166052a/" TargetMode="External"/><Relationship Id="rId17" Type="http://schemas.openxmlformats.org/officeDocument/2006/relationships/hyperlink" Target="http://www.consultant.ru/document/cons_doc_LAW_330976/f54ae51893be1c0b8d48c5cba51e286248e3f237/" TargetMode="External"/><Relationship Id="rId25" Type="http://schemas.openxmlformats.org/officeDocument/2006/relationships/hyperlink" Target="http://www.consultant.ru/document/cons_doc_LAW_330976/f54ae51893be1c0b8d48c5cba51e286248e3f23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1490/" TargetMode="External"/><Relationship Id="rId20" Type="http://schemas.openxmlformats.org/officeDocument/2006/relationships/hyperlink" Target="http://www.consultant.ru/document/cons_doc_LAW_330976/f54ae51893be1c0b8d48c5cba51e286248e3f237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976/f54ae51893be1c0b8d48c5cba51e286248e3f237/" TargetMode="External"/><Relationship Id="rId11" Type="http://schemas.openxmlformats.org/officeDocument/2006/relationships/hyperlink" Target="http://www.consultant.ru/document/cons_doc_LAW_331074/c68b95fe21383d322ccb40aefb0407782166052a/" TargetMode="External"/><Relationship Id="rId24" Type="http://schemas.openxmlformats.org/officeDocument/2006/relationships/hyperlink" Target="http://www.consultant.ru/document/cons_doc_LAW_330976/f54ae51893be1c0b8d48c5cba51e286248e3f237/" TargetMode="External"/><Relationship Id="rId5" Type="http://schemas.openxmlformats.org/officeDocument/2006/relationships/hyperlink" Target="http://www.consultant.ru/document/cons_doc_LAW_330976/f54ae51893be1c0b8d48c5cba51e286248e3f237/" TargetMode="External"/><Relationship Id="rId15" Type="http://schemas.openxmlformats.org/officeDocument/2006/relationships/hyperlink" Target="http://www.consultant.ru/document/cons_doc_LAW_330976/f54ae51893be1c0b8d48c5cba51e286248e3f237/" TargetMode="External"/><Relationship Id="rId23" Type="http://schemas.openxmlformats.org/officeDocument/2006/relationships/hyperlink" Target="http://www.consultant.ru/document/cons_doc_LAW_330976/f54ae51893be1c0b8d48c5cba51e286248e3f23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30976/f54ae51893be1c0b8d48c5cba51e286248e3f237/" TargetMode="External"/><Relationship Id="rId19" Type="http://schemas.openxmlformats.org/officeDocument/2006/relationships/hyperlink" Target="http://www.consultant.ru/document/cons_doc_LAW_330976/f54ae51893be1c0b8d48c5cba51e286248e3f237/" TargetMode="External"/><Relationship Id="rId4" Type="http://schemas.openxmlformats.org/officeDocument/2006/relationships/hyperlink" Target="http://www.consultant.ru/document/cons_doc_LAW_351490/c5cbc4acc59ffed792a3921dbc18900d2d0f7eb1/" TargetMode="External"/><Relationship Id="rId9" Type="http://schemas.openxmlformats.org/officeDocument/2006/relationships/hyperlink" Target="http://www.consultant.ru/document/cons_doc_LAW_331074/c68b95fe21383d322ccb40aefb0407782166052a/" TargetMode="External"/><Relationship Id="rId14" Type="http://schemas.openxmlformats.org/officeDocument/2006/relationships/hyperlink" Target="http://www.consultant.ru/document/cons_doc_LAW_351490/3cd4512b8c634f543d68d0da993c1bcb17a24bb8/" TargetMode="External"/><Relationship Id="rId22" Type="http://schemas.openxmlformats.org/officeDocument/2006/relationships/hyperlink" Target="http://www.consultant.ru/document/cons_doc_LAW_351490/3cd4512b8c634f543d68d0da993c1bcb17a24bb8/" TargetMode="External"/><Relationship Id="rId27" Type="http://schemas.openxmlformats.org/officeDocument/2006/relationships/hyperlink" Target="http://www.consultant.ru/document/cons_doc_LAW_330976/f54ae51893be1c0b8d48c5cba51e286248e3f2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2393</Words>
  <Characters>13642</Characters>
  <Application>Microsoft Office Word</Application>
  <DocSecurity>0</DocSecurity>
  <Lines>113</Lines>
  <Paragraphs>32</Paragraphs>
  <ScaleCrop>false</ScaleCrop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2020-11-29T18:21:00Z</dcterms:created>
  <dcterms:modified xsi:type="dcterms:W3CDTF">2020-11-29T18:23:00Z</dcterms:modified>
</cp:coreProperties>
</file>